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๑๒</w:t>
      </w:r>
      <w:r>
        <w:t xml:space="preserve"> </w:t>
      </w:r>
      <w:r>
        <w:t xml:space="preserve">สื่อที่มีอิทธิพลต่อพฤติกรรมสุขภาพ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สุขศึกษา ป.5 หน่วยที่ 3) ๑๒ สื่อที่มีอิทธิพลต่อพฤติกรรมสุขภาพ 4 ก.พ. 65</dc:title>
  <dc:creator/>
  <cp:keywords/>
  <dcterms:created xsi:type="dcterms:W3CDTF">2022-10-21T10:15:00Z</dcterms:created>
  <dcterms:modified xsi:type="dcterms:W3CDTF">2022-10-21T10:15:00Z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ตุลาคม 2565 เวลา 16.36 น.</vt:lpwstr>
  </property>
  <property fmtid="{D5CDD505-2E9C-101B-9397-08002B2CF9AE}" pid="3" name="subtitle">
    <vt:lpwstr/>
  </property>
</Properties>
</file>